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регионального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отрицательного отношения к коррупции»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1 квартал 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7"/>
        <w:gridCol w:w="7615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auto" w:line="232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1 квартале 202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года отраслевые исследования коррупционных факторов и реализуемых антикоррупционных мер не проводились.  Проведение исследования по изучению мнения населения о коррупции в Сабинском муниципальном районе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запланировано в 3 квартале 202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lang w:val="tt-RU"/>
              </w:rPr>
              <w:t xml:space="preserve"> года.</w:t>
            </w:r>
          </w:p>
          <w:p>
            <w:pPr>
              <w:pStyle w:val="ConsPlusNormal"/>
              <w:spacing w:lineRule="auto" w:line="232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(Выполнение индикаторов -0%).</w:t>
            </w:r>
          </w:p>
        </w:tc>
      </w:tr>
      <w:tr>
        <w:trPr>
          <w:trHeight w:val="470" w:hRule="atLeast"/>
        </w:trPr>
        <w:tc>
          <w:tcPr>
            <w:tcW w:w="15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806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2" w:tgtFrame="_blank">
              <w:r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1 квартале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 в подразделе «Независимая антикоррупционная экспертиза нормативных правовых актов и проектов нормативных правовых актов», подключённом к единому электронному сервису «Независимая антикоррупционная экспертиза», размещено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проектов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6324" w:leader="none"/>
        </w:tabs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предоставления информации об исполнении комплекса процессных мероприятий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 Сабинском муниципальном районе Республики Татарстан за 1 квартал 202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  <w:trHeight w:val="276" w:hRule="atLeast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 w:hRule="atLeast"/>
        </w:trPr>
        <w:tc>
          <w:tcPr>
            <w:tcW w:w="6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470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618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</w:p>
    <w:tbl>
      <w:tblPr>
        <w:tblW w:w="1594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647"/>
        <w:gridCol w:w="4706"/>
        <w:gridCol w:w="2976"/>
        <w:gridCol w:w="7618"/>
      </w:tblGrid>
      <w:tr>
        <w:trPr>
          <w:tblHeader w:val="true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 w:hRule="atLeast"/>
        </w:trPr>
        <w:tc>
          <w:tcPr>
            <w:tcW w:w="15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12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12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rPr>
          <w:trHeight w:val="560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1 квартале 2024 года принят 1 нормативно правовой акт в сфере противодействия коррупции: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1) Решение Совета Сабинского муниципального района от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 внесении изменений в решение Совета Сабинского муниципального района Республики Татарстан от 13.12.2024 года №298 «О бюджете Сабинского муниципального района Республики Татарстан на 2025 год и на плановый период 2026 и 2027 годов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Значение индикатора - 100 %</w:t>
            </w:r>
          </w:p>
        </w:tc>
      </w:tr>
      <w:tr>
        <w:trPr>
          <w:trHeight w:val="277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"/document/196300/entry/0"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"/document/8166002/entry/0"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Указом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Распоряжением Руководителя Исполнительного комитета Сабинского муниципального района Республики Татарстан от 06.10.2017г. №175-р определено должностное лицо кадровой службы, ответственное за работу по профилактике коррупционных и иных правонарушений – Ярмиева Р.Н., воз-ожив на нее функции в соответствии с Указом Президента Российской Федерации от 21.09.2009г. № 1065 и Президента Республики Татарстан от 01.11.2010 № УП-711.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Имеется План работы ответственного лица по профилактике коррупционных и иных правонарушений Совета, и Исполнительного комитета Сабинского муниципального района Республики Татарстан 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год, утвержденный заместителем главы Сабинского муниципального района - председателем комиссии по соблюдению требований к служебному (должностному) поведению и урегулированию конфликта интересов.     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Перечень должностей муниципальной службы в муниципальном образовании Сабинский муниципальный района, замещение которых связано с коррупционными рисками утвержден постановлением Главы Сабинского муниципального района Республики Татарстан от 12.12.2013 № 134-п.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85 должностей муниципальной службы Сабинского муниципального района Республики Татарстан в перечень включено 85 должностей, что составляет 100%.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Проведена оценка коррупционных рисков, возникающих при реализации муниципальными служащими функций.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личных дел муниципальных служащих,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проводится на постоянной основе.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бновлению анкет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данные новой формы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связи с утверждением Указом Президента Российской Федерации от 10 октября 2024 г. № 870.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Проводится работа по подлинности дипломов, по проверке участия 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ниципальных служащих в предпринимательской деятельности и  участия в деятельности органов управления коммерческими               организациями.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- 100%)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Обеспечен доступ к программе для проверки сведений из ЕГРЮЛ и ЕГРИП, также установлена программа «Кадры 1С».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Проверена информация о выдаче дипломов о высшем и средне профессиональном образовании посредством сайта в отношении муниципальных служащих.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Во исполнение законодательства о муниципальной службе, о противодействии коррупции гражданами, претендующими на замещение должностей муниципальной службы, предоставлены справки об отсутствии судимости.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Проводятся проверки соблюдения муниципальными служащими требований к служебному поведению, предусмотренных законодательством о государственной и муниципальной службе.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 целях усиления работы по профилактике коррупционных и иных правонарушений, кадровыми службами органов местного самоуправления ведется постоянная разъяснительная работа по профилактике коррупционных и иных правонарушений среди муниципальных служащих.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систематически, нарушений не выявлено.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(Выполнение индикаторов -100%).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"/document/12164203/entry/133"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статьи 13.3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 контроль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организациями, подведомственными ОМС.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Ведется контроль соблюдения правил и норм Кодекса этики и служебного поведения муниципальных служащих Сабинского муниципального района, и исполнения обязанности по предотвращению и урегулированию конфликта интересов.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Внесены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 2025 году в комиссию по урегулированию конфликта интересов  поступило 2 уведомлений руководителей муниципальных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(Выполнение индикаторов -100%).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p_399023"/>
            <w:bookmarkEnd w:id="0"/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1" w:name="p_399024"/>
            <w:bookmarkEnd w:id="1"/>
            <w:r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Работа Комиссии по координации работы по противодействию коррупции в Сабинском муниципальном районе ведется согласно утвержденному годовому Плану. В случае необходимости возможно проведение внеочередных заседаний, в течение года в План работы могут быть внесены изменения и дополнения.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spacing w:lineRule="auto" w:line="240" w:before="0" w:after="0"/>
              <w:contextualSpacing/>
              <w:jc w:val="both"/>
              <w:outlineLvl w:val="0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 выполнены)</w:t>
            </w:r>
          </w:p>
        </w:tc>
      </w:tr>
      <w:tr>
        <w:trPr>
          <w:trHeight w:val="787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rPr>
          <w:trHeight w:val="1692" w:hRule="atLeast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квартал 2024 года антикоррупционная экспертиза проведена по состоянию на 31.03.202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204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проектов муниципальных нормативных правовых актов. В них коррупциогенные факторы не выявлены.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 1квартал  2025 года заключений от независимых экспертов в отношении муниципальных НПА не поступало.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>
        <w:trPr>
          <w:trHeight w:val="708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 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28 января 2025года и 19 марта 2025 муниципальные служащие, лица замещающие муниципальные должности и руководители муниципальных бюджетных учреждений в режиме видеоконференции приняли участие  в специальном практическом семинаре по актуальным вопросам, возникающим при представлении соответствующих справок по итогам 2024 года, с участием представителей прокуратуры Республики Татарстан, Управления Федеральной налоговой службы России по РТ, Управления Раиса Республики Татарстан по вопросам антикоррупционной политики, Департамента государственной службы и кадров при Президенте Республики Татарстан и регионального отделения Фонда социального страхования России по Республике Татарстан.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/>
            </w:pP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24.02.2025 проведен семинар 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для 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муниципальны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служащи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х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, лица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м</w:t>
            </w:r>
            <w:r>
              <w:rPr>
                <w:rStyle w:val="Layout"/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  замещающие муниципальные должности и руководители муниципальных бюджетных учреждений, на тему «Представление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год)» с участием служащих аппарата. Также на семинар была приглашена  Равия Бедертдиновна Шрша заведующая отделом антикоррупционных проверок Управления Раиса Республики Татарстан по вопросам антикоррупционной политики.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на итоговом заседании Совета Сабинского муниципального района  с участием председателя и членов Общественного совета района. 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</w:t>
            </w:r>
          </w:p>
          <w:p>
            <w:pPr>
              <w:pStyle w:val="Normal"/>
              <w:tabs>
                <w:tab w:val="clear" w:pos="708"/>
                <w:tab w:val="left" w:pos="972" w:leader="none"/>
              </w:tabs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rPr>
          <w:trHeight w:val="623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Вся информация размещена на сайте района, в т.ч.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Проводится ежеквартальный анализ обращений граждан на предмет наличия информации о фактах коррупции со стороны муниципальных служащих, а также в СМИ. За отчетный период таких сообщений не поступило.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входе в здание сельских и городских поселений района установлены ящики «Ящики доверия» для сбора сообщений от граждан и организаций.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Ведется журнал регистрации обращений граждан и организации, поступивших по телефону доверия по вопросам противодействия коррупции.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сайте Сабинского муниципального района опубликованы следующие номера телефонов доверия для сообщений о проявлениях коррупции: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Совета и Исполнительного комитета Сабинского муниципального района: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Помощника Главы по антикоррупционной и антитеррористической работе, секретаря комиссии по координации работы по противодействию коррупции: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Ответственного лица за профилактику коррупционных и иных правонарушений – заведующей сектором по кадровой работе Исполнительного комитета Сабинского муниципального района РТ.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Прокуратуры Сабинского района;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Отдела МВД России по Сабинскому району;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-Управления Президента Республики Татарстан по вопросам антикоррупционной политики: 8(843)567-88-69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Совета при Президенте Республики Татарстан по противодействию коррупции: 8(843)567-89-12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адрес интернет – приемной Сабинского муниципального района.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текущий период от граждан письменных и устных жалоб и обращений о признаках коррупционных правонарушений не поступало.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целях доведения до СМИ информации о мерах, принимаемых органами местного самоуправления района по противодействию коррупции, на страницах районной газеты «Саба таннары» и местном канале Сабинской телекомпании освещаются мероприятия, направленные на профилактику коррупционных и иных правонарушений. На все мероприятия по противодействию коррупции приглашаются представители СМИ.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антикоррупционной направленности имеются во всех муниципальных учреждениях и органах местного самоуправления, а также в фойе здании Совета и Исполнительного комитета Сабинского муниципального района установлен монитор, на котором ежеминутно транслируется антикоррупционные материалы.  Информация систематически обновляется.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</w:p>
        </w:tc>
      </w:tr>
      <w:tr>
        <w:trPr>
          <w:trHeight w:val="601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uppressAutoHyphens w:val="true"/>
              <w:spacing w:before="0" w:after="0"/>
              <w:jc w:val="both"/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Реализация принципа открытости и прозрачности информации о закупках обеспечивается путем размещения на портале www.zakupki.gov.ru план-графиков закупок всех муниципальных заказчиков района, а также размещения извещений о проведении конкурентных способов закупок как на общероссийском официальном сайте, так и на сайте Сабинского муниципального района http://saby.tatarstan.ru. Электронные торги проводятся на торговой площадке http://www.zakazrf.ru либо закупается через «Биржевую площадку АГЗ РТ».</w:t>
            </w:r>
          </w:p>
          <w:p>
            <w:pPr>
              <w:pStyle w:val="BodyText"/>
              <w:widowControl/>
              <w:spacing w:before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На 01.04.2025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г. заключены 183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муниципальных контрактов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по итогам 59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проведённых электронных торгов на сумму 457,7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</w:rPr>
              <w:t> 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млн.руб., экономия – 5,6 млн.руб. или 1,2%.</w:t>
            </w:r>
          </w:p>
          <w:p>
            <w:pPr>
              <w:pStyle w:val="BodyText"/>
              <w:widowControl/>
              <w:spacing w:before="0" w:after="142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Значение индикатора по мероприятию (доля органов государственной власти и ОМС, обеспечивших прозрачность деятельности по осуществлению закупок товаров, работ, услуг для обеспечения государственных (муниципальных) нужд, процентов) равна 100%.</w:t>
            </w:r>
          </w:p>
        </w:tc>
      </w:tr>
      <w:tr>
        <w:trPr>
          <w:trHeight w:val="376" w:hRule="atLeast"/>
        </w:trPr>
        <w:tc>
          <w:tcPr>
            <w:tcW w:w="1594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организован, обращений в 1 квартале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не выявлено.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выполнены).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Все факты несоблюдения запретов, ограничений и требований, установленных в целях противодействия коррупции, рассматриваются на комиссии по соблюдению требований к служебному поведению.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pacing w:val="-1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Осуществляется контроль за применением предусмотренных законодательством мер юридической ответственности за несоблюдение требований, установленных в целях противодействия коррупции.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 - выполнены)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 xml:space="preserve"> </w:t>
            </w:r>
          </w:p>
        </w:tc>
      </w:tr>
      <w:tr>
        <w:trPr>
          <w:trHeight w:val="106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r>
              <w:fldChar w:fldCharType="begin"/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instrText xml:space="preserve"> HYPERLINK "https://internet.garant.ru/" \l "/document/12164203/entry/0"</w:instrTex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separate"/>
            </w:r>
            <w:r>
              <w:rPr>
                <w:rStyle w:val="Hyperlink"/>
                <w:rFonts w:ascii="Times New Roman" w:hAnsi="Times New Roman"/>
                <w:color w:val="auto"/>
                <w:sz w:val="24"/>
                <w:szCs w:val="24"/>
                <w:u w:val="none"/>
              </w:rPr>
              <w:t>законодательства</w:t>
            </w:r>
            <w:r>
              <w:rPr>
                <w:rStyle w:val="Hyperlink"/>
                <w:sz w:val="24"/>
                <w:u w:val="none"/>
                <w:szCs w:val="24"/>
                <w:rFonts w:ascii="Times New Roman" w:hAnsi="Times New Roman"/>
                <w:color w:val="auto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7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 квартале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существлен контроль за применением предусмотренных законодательством мер юридической ответственности за несоблюдение запретов, ограничений и требований, установленных в целях противодействия коррупции.    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Нарушений не выявлено, привлеченных к дисциплинарной  ответственности не имеется.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Normal"/>
              <w:suppressAutoHyphens w:val="true"/>
              <w:spacing w:lineRule="auto" w:line="240" w:before="0" w:after="0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(Значение индикаторов -100%  - выполнены).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bookmarkStart w:id="2" w:name="_GoBack"/>
            <w:bookmarkStart w:id="3" w:name="_GoBack"/>
            <w:bookmarkEnd w:id="3"/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8"/>
          <w:szCs w:val="8"/>
        </w:rPr>
      </w:r>
    </w:p>
    <w:sectPr>
      <w:headerReference w:type="default" r:id="rId3"/>
      <w:type w:val="nextPage"/>
      <w:pgSz w:orient="landscape" w:w="16838" w:h="11906"/>
      <w:pgMar w:left="567" w:right="567" w:gutter="0" w:header="567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ru-RU" w:bidi="ar-SA"/>
    </w:rPr>
  </w:style>
  <w:style w:type="paragraph" w:styleId="Heading1">
    <w:name w:val="Heading 1"/>
    <w:basedOn w:val="Normal"/>
    <w:next w:val="Normal"/>
    <w:qFormat/>
    <w:pPr>
      <w:widowControl w:val="false"/>
      <w:tabs>
        <w:tab w:val="clear" w:pos="708"/>
        <w:tab w:val="left" w:pos="0" w:leader="none"/>
      </w:tabs>
      <w:spacing w:lineRule="auto" w:line="240" w:before="108" w:after="108"/>
      <w:jc w:val="center"/>
      <w:outlineLvl w:val="0"/>
    </w:pPr>
    <w:rPr>
      <w:rFonts w:ascii="Arial" w:hAnsi="Arial" w:eastAsia="Times New Roman" w:cs="Arial"/>
      <w:b/>
      <w:bCs/>
      <w:color w:val="000080"/>
      <w:sz w:val="24"/>
      <w:szCs w:val="24"/>
    </w:rPr>
  </w:style>
  <w:style w:type="paragraph" w:styleId="Heading3">
    <w:name w:val="Heading 3"/>
    <w:basedOn w:val="Normal"/>
    <w:next w:val="BodyText"/>
    <w:qFormat/>
    <w:pPr>
      <w:tabs>
        <w:tab w:val="clear" w:pos="708"/>
        <w:tab w:val="left" w:pos="0" w:leader="none"/>
      </w:tabs>
      <w:spacing w:lineRule="auto" w:line="240" w:before="280" w:after="280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2z0" w:customStyle="1">
    <w:name w:val="WW8Num12z0"/>
    <w:qFormat/>
    <w:rPr>
      <w:rFonts w:ascii="Times New Roman" w:hAnsi="Times New Roman" w:eastAsia="Calibri" w:cs="Times New Roman"/>
      <w:color w:val="000000"/>
      <w:sz w:val="20"/>
    </w:rPr>
  </w:style>
  <w:style w:type="character" w:styleId="WW8Num14z0" w:customStyle="1">
    <w:name w:val="WW8Num14z0"/>
    <w:qFormat/>
    <w:rPr/>
  </w:style>
  <w:style w:type="character" w:styleId="WW8Num15z0" w:customStyle="1">
    <w:name w:val="WW8Num15z0"/>
    <w:qFormat/>
    <w:rPr>
      <w:rFonts w:cs="Times New Roman"/>
    </w:rPr>
  </w:style>
  <w:style w:type="character" w:styleId="WW8Num16z0" w:customStyle="1">
    <w:name w:val="WW8Num16z0"/>
    <w:qFormat/>
    <w:rPr/>
  </w:style>
  <w:style w:type="character" w:styleId="WW8Num17z0" w:customStyle="1">
    <w:name w:val="WW8Num17z0"/>
    <w:qFormat/>
    <w:rPr>
      <w:rFonts w:ascii="Times New Roman" w:hAnsi="Times New Roman" w:cs="Times New Roman"/>
    </w:rPr>
  </w:style>
  <w:style w:type="character" w:styleId="WW8Num18z0" w:customStyle="1">
    <w:name w:val="WW8Num18z0"/>
    <w:qFormat/>
    <w:rPr>
      <w:sz w:val="24"/>
    </w:rPr>
  </w:style>
  <w:style w:type="character" w:styleId="WW8Num19z0" w:customStyle="1">
    <w:name w:val="WW8Num19z0"/>
    <w:qFormat/>
    <w:rPr/>
  </w:style>
  <w:style w:type="character" w:styleId="WW8Num20z0" w:customStyle="1">
    <w:name w:val="WW8Num20z0"/>
    <w:qFormat/>
    <w:rPr>
      <w:rFonts w:cs="Times New Roman"/>
    </w:rPr>
  </w:style>
  <w:style w:type="character" w:styleId="WW8Num21z0" w:customStyle="1">
    <w:name w:val="WW8Num21z0"/>
    <w:qFormat/>
    <w:rPr>
      <w:sz w:val="24"/>
    </w:rPr>
  </w:style>
  <w:style w:type="character" w:styleId="WW8Num22z0" w:customStyle="1">
    <w:name w:val="WW8Num22z0"/>
    <w:qFormat/>
    <w:rPr/>
  </w:style>
  <w:style w:type="character" w:styleId="WW8Num23z0" w:customStyle="1">
    <w:name w:val="WW8Num23z0"/>
    <w:qFormat/>
    <w:rPr/>
  </w:style>
  <w:style w:type="character" w:styleId="WW8Num26z0" w:customStyle="1">
    <w:name w:val="WW8Num26z0"/>
    <w:qFormat/>
    <w:rPr>
      <w:sz w:val="24"/>
    </w:rPr>
  </w:style>
  <w:style w:type="character" w:styleId="WW8Num26z1" w:customStyle="1">
    <w:name w:val="WW8Num26z1"/>
    <w:qFormat/>
    <w:rPr/>
  </w:style>
  <w:style w:type="character" w:styleId="WW8Num27z0" w:customStyle="1">
    <w:name w:val="WW8Num27z0"/>
    <w:qFormat/>
    <w:rPr>
      <w:rFonts w:ascii="Symbol" w:hAnsi="Symbol" w:cs="Symbol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8z0" w:customStyle="1">
    <w:name w:val="WW8Num28z0"/>
    <w:qFormat/>
    <w:rPr>
      <w:rFonts w:ascii="Times New Roman" w:hAnsi="Times New Roman" w:cs="Times New Roman"/>
    </w:rPr>
  </w:style>
  <w:style w:type="character" w:styleId="WW8Num29z0" w:customStyle="1">
    <w:name w:val="WW8Num29z0"/>
    <w:qFormat/>
    <w:rPr>
      <w:rFonts w:ascii="Symbol" w:hAnsi="Symbol" w:cs="Symbol"/>
    </w:rPr>
  </w:style>
  <w:style w:type="character" w:styleId="WW8Num29z1" w:customStyle="1">
    <w:name w:val="WW8Num29z1"/>
    <w:qFormat/>
    <w:rPr>
      <w:rFonts w:ascii="Courier New" w:hAnsi="Courier New" w:cs="Times New Roman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St14z0" w:customStyle="1">
    <w:name w:val="WW8NumSt14z0"/>
    <w:qFormat/>
    <w:rPr>
      <w:rFonts w:ascii="Symbol" w:hAnsi="Symbol" w:cs="Symbol"/>
    </w:rPr>
  </w:style>
  <w:style w:type="character" w:styleId="3" w:customStyle="1">
    <w:name w:val="Основной текст 3 Знак"/>
    <w:qFormat/>
    <w:rPr>
      <w:rFonts w:ascii="Times New Roman" w:hAnsi="Times New Roman" w:eastAsia="Times New Roman" w:cs="Times New Roman"/>
      <w:b/>
      <w:i/>
      <w:sz w:val="28"/>
      <w:szCs w:val="24"/>
      <w:u w:val="single"/>
    </w:rPr>
  </w:style>
  <w:style w:type="character" w:styleId="2" w:customStyle="1">
    <w:name w:val="Основной текст с отступом 2 Знак"/>
    <w:basedOn w:val="DefaultParagraphFont"/>
    <w:qFormat/>
    <w:rPr/>
  </w:style>
  <w:style w:type="character" w:styleId="31" w:customStyle="1">
    <w:name w:val="Основной текст с отступом 3 Знак"/>
    <w:qFormat/>
    <w:rPr>
      <w:sz w:val="16"/>
      <w:szCs w:val="16"/>
    </w:rPr>
  </w:style>
  <w:style w:type="character" w:styleId="1" w:customStyle="1">
    <w:name w:val="Заголовок 1 Знак"/>
    <w:qFormat/>
    <w:rPr>
      <w:rFonts w:ascii="Arial" w:hAnsi="Arial" w:eastAsia="Times New Roman" w:cs="Arial"/>
      <w:b/>
      <w:bCs/>
      <w:color w:val="000080"/>
      <w:sz w:val="24"/>
      <w:szCs w:val="24"/>
    </w:rPr>
  </w:style>
  <w:style w:type="character" w:styleId="32" w:customStyle="1">
    <w:name w:val="Заголовок 3 Знак"/>
    <w:qFormat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21" w:customStyle="1">
    <w:name w:val="Основной текст 2 Знак"/>
    <w:basedOn w:val="DefaultParagraphFont"/>
    <w:qFormat/>
    <w:rPr/>
  </w:style>
  <w:style w:type="character" w:styleId="Style12" w:customStyle="1">
    <w:name w:val="Цветовое выделение"/>
    <w:qFormat/>
    <w:rPr>
      <w:b/>
      <w:color w:val="000080"/>
    </w:rPr>
  </w:style>
  <w:style w:type="character" w:styleId="Style13" w:customStyle="1">
    <w:name w:val="Название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Style14" w:customStyle="1">
    <w:name w:val="Верхний колонтитул Знак"/>
    <w:basedOn w:val="DefaultParagraphFont"/>
    <w:qFormat/>
    <w:rPr/>
  </w:style>
  <w:style w:type="character" w:styleId="Style15" w:customStyle="1">
    <w:name w:val="Нижний колонтитул Знак"/>
    <w:basedOn w:val="DefaultParagraphFont"/>
    <w:qFormat/>
    <w:rPr/>
  </w:style>
  <w:style w:type="character" w:styleId="Style16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FontStyle13" w:customStyle="1">
    <w:name w:val="Font Style13"/>
    <w:qFormat/>
    <w:rPr>
      <w:rFonts w:ascii="Times New Roman" w:hAnsi="Times New Roman" w:cs="Times New Roman"/>
      <w:sz w:val="16"/>
      <w:szCs w:val="16"/>
    </w:rPr>
  </w:style>
  <w:style w:type="character" w:styleId="Style17" w:customStyle="1">
    <w:name w:val="Основной текст с отступом Знак"/>
    <w:basedOn w:val="DefaultParagraphFont"/>
    <w:qFormat/>
    <w:rPr/>
  </w:style>
  <w:style w:type="character" w:styleId="Strong">
    <w:name w:val="Strong"/>
    <w:qFormat/>
    <w:rPr>
      <w:b/>
      <w:bCs/>
    </w:rPr>
  </w:style>
  <w:style w:type="character" w:styleId="Style18" w:customStyle="1">
    <w:name w:val="Текст концевой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19" w:customStyle="1">
    <w:name w:val="Символ концевой сноски"/>
    <w:qFormat/>
    <w:rPr>
      <w:vertAlign w:val="superscript"/>
    </w:rPr>
  </w:style>
  <w:style w:type="character" w:styleId="Style20" w:customStyle="1">
    <w:name w:val="Текст сноски Знак"/>
    <w:qFormat/>
    <w:rPr>
      <w:rFonts w:ascii="Times New Roman" w:hAnsi="Times New Roman" w:eastAsia="Times New Roman" w:cs="Times New Roman"/>
      <w:sz w:val="20"/>
      <w:szCs w:val="20"/>
      <w:lang w:val="ru-RU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FontStyle21" w:customStyle="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Hyperlink">
    <w:name w:val="Hyperlink"/>
    <w:rPr>
      <w:color w:val="0000FF"/>
      <w:u w:val="single"/>
    </w:rPr>
  </w:style>
  <w:style w:type="character" w:styleId="Style22" w:customStyle="1">
    <w:name w:val="Гипертекстовая ссылка"/>
    <w:qFormat/>
    <w:rPr>
      <w:rFonts w:cs="Times New Roman"/>
      <w:b/>
      <w:bCs/>
      <w:color w:val="008000"/>
    </w:rPr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23" w:customStyle="1">
    <w:name w:val="Текст примечания Знак"/>
    <w:qFormat/>
    <w:rPr>
      <w:sz w:val="20"/>
      <w:szCs w:val="20"/>
    </w:rPr>
  </w:style>
  <w:style w:type="character" w:styleId="Style24" w:customStyle="1">
    <w:name w:val="Тема примечания Знак"/>
    <w:qFormat/>
    <w:rPr>
      <w:b/>
      <w:bCs/>
      <w:sz w:val="20"/>
      <w:szCs w:val="20"/>
    </w:rPr>
  </w:style>
  <w:style w:type="character" w:styleId="ListParagraphChar" w:customStyle="1">
    <w:name w:val="List Paragraph Char"/>
    <w:link w:val="22"/>
    <w:qFormat/>
    <w:locked/>
    <w:rsid w:val="00b42987"/>
    <w:rPr>
      <w:rFonts w:ascii="Calibri" w:hAnsi="Calibri" w:eastAsia="Calibri" w:cs="Times New Roman"/>
      <w:sz w:val="22"/>
      <w:szCs w:val="22"/>
      <w:lang w:eastAsia="en-US" w:bidi="ar-SA"/>
    </w:rPr>
  </w:style>
  <w:style w:type="character" w:styleId="Style25" w:customStyle="1">
    <w:name w:val="Основной текст_"/>
    <w:link w:val="15"/>
    <w:qFormat/>
    <w:locked/>
    <w:rsid w:val="009a6542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Layout">
    <w:name w:val="layout"/>
    <w:basedOn w:val="DefaultParagraphFont"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" w:customStyle="1">
    <w:name w:val="Заголовок1"/>
    <w:basedOn w:val="Normal"/>
    <w:next w:val="BodyText"/>
    <w:qFormat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Mangal"/>
    </w:rPr>
  </w:style>
  <w:style w:type="paragraph" w:styleId="BodyText3">
    <w:name w:val="Body Text 3"/>
    <w:basedOn w:val="Normal"/>
    <w:qFormat/>
    <w:pPr>
      <w:keepNext w:val="true"/>
      <w:spacing w:lineRule="auto" w:line="240" w:before="0" w:after="0"/>
      <w:jc w:val="both"/>
    </w:pPr>
    <w:rPr>
      <w:rFonts w:ascii="Times New Roman" w:hAnsi="Times New Roman" w:eastAsia="Times New Roman"/>
      <w:b/>
      <w:i/>
      <w:sz w:val="28"/>
      <w:szCs w:val="24"/>
      <w:u w:val="single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ru-RU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eastAsia="zh-CN" w:val="ru-RU" w:bidi="ar-SA"/>
    </w:rPr>
  </w:style>
  <w:style w:type="paragraph" w:styleId="Style28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Style29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</w:rPr>
  </w:style>
  <w:style w:type="paragraph" w:styleId="Style30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pacing w:lineRule="auto" w:line="240" w:before="0" w:after="0"/>
    </w:pPr>
    <w:rPr/>
  </w:style>
  <w:style w:type="paragraph" w:styleId="Footer">
    <w:name w:val="Footer"/>
    <w:basedOn w:val="Normal"/>
    <w:pPr>
      <w:spacing w:lineRule="auto" w:line="240" w:before="0" w:after="0"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zh-CN" w:val="ru-RU" w:bidi="ar-SA"/>
    </w:rPr>
  </w:style>
  <w:style w:type="paragraph" w:styleId="Style31" w:customStyle="1">
    <w:name w:val="Абзац с отсуп"/>
    <w:basedOn w:val="Normal"/>
    <w:qFormat/>
    <w:pPr>
      <w:spacing w:lineRule="exact" w:line="360" w:before="120" w:after="0"/>
      <w:ind w:firstLine="720"/>
      <w:jc w:val="both"/>
    </w:pPr>
    <w:rPr>
      <w:rFonts w:ascii="Times New Roman" w:hAnsi="Times New Roman" w:eastAsia="Times New Roman"/>
      <w:sz w:val="28"/>
      <w:szCs w:val="28"/>
      <w:lang w:val="en-US"/>
    </w:rPr>
  </w:style>
  <w:style w:type="paragraph" w:styleId="12" w:customStyle="1">
    <w:name w:val="Стиль1"/>
    <w:basedOn w:val="Normal"/>
    <w:qFormat/>
    <w:pPr>
      <w:spacing w:lineRule="auto" w:line="240" w:before="0" w:after="0"/>
    </w:pPr>
    <w:rPr>
      <w:rFonts w:ascii="Times New Roman" w:hAnsi="Times New Roman" w:eastAsia="Times New Roman"/>
      <w:sz w:val="28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NormalWeb1" w:customStyle="1">
    <w:name w:val="Normal (Web)1"/>
    <w:basedOn w:val="Normal"/>
    <w:qFormat/>
    <w:pPr>
      <w:spacing w:lineRule="auto" w:line="288" w:before="100" w:after="100"/>
      <w:ind w:firstLine="567"/>
      <w:jc w:val="both"/>
      <w:textAlignment w:val="baseline"/>
    </w:pPr>
    <w:rPr>
      <w:rFonts w:ascii="Times New Roman" w:hAnsi="Times New Roman" w:eastAsia="Times New Roman"/>
      <w:sz w:val="28"/>
      <w:szCs w:val="28"/>
    </w:rPr>
  </w:style>
  <w:style w:type="paragraph" w:styleId="13" w:customStyle="1">
    <w:name w:val="Абзац списка1"/>
    <w:basedOn w:val="Normal"/>
    <w:qFormat/>
    <w:pPr>
      <w:spacing w:before="0" w:after="200"/>
      <w:ind w:left="720"/>
      <w:contextualSpacing/>
    </w:pPr>
    <w:rPr>
      <w:rFonts w:eastAsia="Times New Roman"/>
    </w:rPr>
  </w:style>
  <w:style w:type="paragraph" w:styleId="Iauiue" w:customStyle="1">
    <w:name w:val="Iau?iue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eastAsia="zh-CN" w:val="ru-RU" w:bidi="ar-SA"/>
    </w:rPr>
  </w:style>
  <w:style w:type="paragraph" w:styleId="EndnoteText">
    <w:name w:val="End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FootnoteText">
    <w:name w:val="Footnote Text"/>
    <w:basedOn w:val="Normal"/>
    <w:pPr>
      <w:widowControl w:val="false"/>
      <w:spacing w:lineRule="auto" w:line="240" w:before="0" w:after="0"/>
    </w:pPr>
    <w:rPr>
      <w:rFonts w:ascii="Times New Roman" w:hAnsi="Times New Roman" w:eastAsia="Times New Roman"/>
      <w:sz w:val="20"/>
      <w:szCs w:val="20"/>
    </w:rPr>
  </w:style>
  <w:style w:type="paragraph" w:styleId="14" w:customStyle="1">
    <w:name w:val="1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0"/>
      <w:szCs w:val="20"/>
      <w:lang w:val="en-US"/>
    </w:rPr>
  </w:style>
  <w:style w:type="paragraph" w:styleId="Style32" w:customStyle="1">
    <w:name w:val="Знак Знак Знак Знак Знак Знак"/>
    <w:basedOn w:val="Normal"/>
    <w:qFormat/>
    <w:pPr>
      <w:spacing w:lineRule="auto" w:line="240" w:before="280" w:after="280"/>
    </w:pPr>
    <w:rPr>
      <w:rFonts w:ascii="Tahoma" w:hAnsi="Tahoma" w:eastAsia="Times New Roman" w:cs="Tahoma"/>
      <w:sz w:val="24"/>
      <w:szCs w:val="24"/>
      <w:lang w:val="en-US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Style61" w:customStyle="1">
    <w:name w:val="Style6"/>
    <w:basedOn w:val="Normal"/>
    <w:qFormat/>
    <w:pPr>
      <w:widowControl w:val="false"/>
      <w:spacing w:lineRule="exact" w:line="484" w:before="0" w:after="0"/>
      <w:ind w:firstLine="710"/>
      <w:jc w:val="both"/>
    </w:pPr>
    <w:rPr>
      <w:rFonts w:ascii="Times New Roman" w:hAnsi="Times New Roman" w:eastAsia="Times New Roman"/>
      <w:sz w:val="24"/>
      <w:szCs w:val="24"/>
    </w:rPr>
  </w:style>
  <w:style w:type="paragraph" w:styleId="Style3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4" w:customStyle="1">
    <w:name w:val="Заголовок таблицы"/>
    <w:basedOn w:val="Style33"/>
    <w:qFormat/>
    <w:pPr>
      <w:jc w:val="center"/>
    </w:pPr>
    <w:rPr>
      <w:b/>
      <w:bCs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22" w:customStyle="1">
    <w:name w:val="Абзац списка2"/>
    <w:basedOn w:val="Normal"/>
    <w:link w:val="ListParagraphChar"/>
    <w:qFormat/>
    <w:rsid w:val="00b42987"/>
    <w:pPr>
      <w:spacing w:before="0" w:after="200"/>
      <w:ind w:left="720"/>
      <w:contextualSpacing/>
    </w:pPr>
    <w:rPr>
      <w:lang w:eastAsia="en-US"/>
    </w:rPr>
  </w:style>
  <w:style w:type="paragraph" w:styleId="15" w:customStyle="1">
    <w:name w:val="Основной текст1"/>
    <w:basedOn w:val="Normal"/>
    <w:link w:val="Style25"/>
    <w:qFormat/>
    <w:rsid w:val="009a6542"/>
    <w:pPr>
      <w:widowControl w:val="false"/>
      <w:shd w:val="clear" w:color="auto" w:fill="FFFFFF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LibreOffice/7.6.7.2$Linux_X86_64 LibreOffice_project/60$Build-2</Application>
  <AppVersion>15.0000</AppVersion>
  <Pages>10</Pages>
  <Words>2658</Words>
  <Characters>20610</Characters>
  <CharactersWithSpaces>23165</CharactersWithSpaces>
  <Paragraphs>166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2024-04-04T13:36:00Z</dcterms:created>
  <dc:creator>Наталья</dc:creator>
  <dc:description/>
  <dc:language>ru-RU</dc:language>
  <cp:lastModifiedBy/>
  <cp:lastPrinted>2014-07-16T15:25:00Z</cp:lastPrinted>
  <dcterms:modified xsi:type="dcterms:W3CDTF">2025-04-02T14:14:33Z</dcterms:modified>
  <cp:revision>3</cp:revision>
  <dc:subject/>
  <dc:title>Приложение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